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8110" w14:textId="4B434977" w:rsidR="00325F93" w:rsidRDefault="00325F93" w:rsidP="00325F93">
      <w:pPr>
        <w:spacing w:after="0" w:line="240" w:lineRule="auto"/>
        <w:jc w:val="center"/>
        <w:rPr>
          <w:rFonts w:ascii="Cambria" w:eastAsia="Times New Roman" w:hAnsi="Cambria" w:cs="Open Sans"/>
          <w:i/>
          <w:iCs/>
          <w:sz w:val="24"/>
          <w:szCs w:val="24"/>
          <w:lang w:val="sr-Latn-RS"/>
        </w:rPr>
      </w:pPr>
      <w:r w:rsidRPr="00325F93">
        <w:rPr>
          <w:rFonts w:ascii="Cambria" w:eastAsia="Times New Roman" w:hAnsi="Cambria" w:cs="Open Sans"/>
          <w:i/>
          <w:iCs/>
          <w:sz w:val="24"/>
          <w:szCs w:val="24"/>
          <w:lang w:val="sr-Latn-RS"/>
        </w:rPr>
        <w:t>Socijaldemokratska partija Srbije</w:t>
      </w:r>
    </w:p>
    <w:p w14:paraId="6F663C16" w14:textId="77777777" w:rsidR="00325F93" w:rsidRPr="00325F93" w:rsidRDefault="00325F93" w:rsidP="00325F93">
      <w:pPr>
        <w:spacing w:after="0" w:line="240" w:lineRule="auto"/>
        <w:jc w:val="center"/>
        <w:rPr>
          <w:rFonts w:ascii="Cambria" w:eastAsia="Times New Roman" w:hAnsi="Cambria" w:cs="Open Sans"/>
          <w:i/>
          <w:iCs/>
          <w:sz w:val="24"/>
          <w:szCs w:val="24"/>
          <w:lang w:val="sr-Latn-RS"/>
        </w:rPr>
      </w:pPr>
    </w:p>
    <w:p w14:paraId="4EC17969" w14:textId="77777777" w:rsidR="00325F93" w:rsidRPr="00325F93" w:rsidRDefault="00325F93" w:rsidP="00325F93">
      <w:pPr>
        <w:spacing w:after="0" w:line="240" w:lineRule="auto"/>
        <w:jc w:val="center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71D3BB4B" w14:textId="79A2FCD0" w:rsidR="00325F93" w:rsidRPr="00266CA5" w:rsidRDefault="002E6FB0" w:rsidP="00325F93">
      <w:pPr>
        <w:spacing w:after="0" w:line="240" w:lineRule="auto"/>
        <w:jc w:val="center"/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</w:pPr>
      <w:r w:rsidRPr="00266CA5">
        <w:rPr>
          <w:rFonts w:ascii="Cambria" w:eastAsia="Times New Roman" w:hAnsi="Cambria" w:cs="Open Sans"/>
          <w:b/>
          <w:bCs/>
          <w:szCs w:val="28"/>
          <w:lang w:val="sr-Latn-RS"/>
        </w:rPr>
        <w:t>Deset konkretnih mera za poboljšanje uslova poslovanja malih i srednjih preduzeća</w:t>
      </w:r>
      <w:r w:rsidR="00C830AF" w:rsidRPr="00266CA5">
        <w:rPr>
          <w:rFonts w:ascii="Cambria" w:eastAsia="Times New Roman" w:hAnsi="Cambria" w:cs="Open Sans"/>
          <w:b/>
          <w:bCs/>
          <w:szCs w:val="28"/>
          <w:lang w:val="sr-Latn-RS"/>
        </w:rPr>
        <w:br/>
      </w:r>
      <w:r w:rsidR="00C830AF" w:rsidRPr="00266CA5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br/>
      </w:r>
    </w:p>
    <w:p w14:paraId="1029A220" w14:textId="77777777" w:rsidR="00325F93" w:rsidRDefault="00325F93" w:rsidP="00325F93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7281D4AC" w14:textId="2BA8E808" w:rsidR="00972078" w:rsidRDefault="00C830A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se izlazni PDV plaća po naplati, a ne po fakturisanju</w:t>
      </w:r>
      <w:r w:rsidR="00D636FD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, odnosno da rok za plaćanje bude najkasnije 60 dana bez obzira na naplatu.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Tako d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ržava ne bi na sebe preuzela celokupni rizik poslovanja, 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a</w:t>
      </w:r>
      <w:r w:rsidR="007709CC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sa druge strane</w:t>
      </w:r>
      <w:r w:rsidR="007709CC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to bi se 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>poklopilo sa zakon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skim rokom za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plaćanj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e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primljene rob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e, odnosno usluge, koji </w:t>
      </w:r>
      <w:r w:rsidR="007709CC">
        <w:rPr>
          <w:rFonts w:ascii="Cambria" w:eastAsia="Times New Roman" w:hAnsi="Cambria" w:cs="Open Sans"/>
          <w:sz w:val="24"/>
          <w:szCs w:val="24"/>
          <w:lang w:val="sr-Latn-RS"/>
        </w:rPr>
        <w:t xml:space="preserve">takođe 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i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znosi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60 dana. Na taj način bi se 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privrednim subjektima dala mogućnost da porez plaćaju iz stvarno ostvarenog prihoda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čime bi se 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>malo relaksira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la njihova</w:t>
      </w:r>
      <w:r w:rsidRPr="00325F93">
        <w:rPr>
          <w:rFonts w:ascii="Cambria" w:eastAsia="Times New Roman" w:hAnsi="Cambria" w:cs="Open Sans"/>
          <w:sz w:val="24"/>
          <w:szCs w:val="24"/>
          <w:lang w:val="sr-Latn-RS"/>
        </w:rPr>
        <w:t xml:space="preserve"> likvidnost</w:t>
      </w:r>
      <w:r w:rsidR="00D636FD" w:rsidRPr="00325F93">
        <w:rPr>
          <w:rFonts w:ascii="Cambria" w:eastAsia="Times New Roman" w:hAnsi="Cambria" w:cs="Open Sans"/>
          <w:sz w:val="24"/>
          <w:szCs w:val="24"/>
          <w:lang w:val="sr-Latn-RS"/>
        </w:rPr>
        <w:t>.</w:t>
      </w:r>
    </w:p>
    <w:p w14:paraId="1A1A5EF4" w14:textId="77777777" w:rsidR="00972078" w:rsidRDefault="00972078" w:rsidP="00972078">
      <w:pPr>
        <w:pStyle w:val="ListParagraph"/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63F3FC63" w14:textId="4C74571F" w:rsidR="00972078" w:rsidRDefault="00C830A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se povraćaj PDV na kupljena sredstva i opremu vrši po automatizmu, osim u slučaju da privredni subjek</w:t>
      </w:r>
      <w:r w:rsidR="00972078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a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t ne naznači drugačije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. Tako bi se izbeglo 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>„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markiranje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>“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onih koji traže povraćaj i smanjio strah privrednika da na taj način „prizivaju“ inspekcije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koje se smatraju „kaznenim ekspedicijama“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>. Sa druge strane, time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bi država pokazala dobru volju da 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privrednim subjektima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bezuslovno stavi na raspolaganje kapital koji </w:t>
      </w:r>
      <w:r w:rsidR="00E54F07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im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po zakonu pripada.</w:t>
      </w:r>
    </w:p>
    <w:p w14:paraId="65E93E65" w14:textId="77777777" w:rsidR="00972078" w:rsidRPr="00972078" w:rsidRDefault="00972078" w:rsidP="00972078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123B5029" w14:textId="77777777" w:rsidR="00972078" w:rsidRDefault="00C830A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sva povezana pravna lica istog vlasnika solidarno odgovaraju za obaveze prema poveriocima i dobavljačima.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Na taj način bi se obezebedila veća zaštita učesnika na tržištu od sve češće pojave da jedan vlasnik otvori više firmi, uporedo stvarajući situaciju u kojoj jednu kompaniju svesno baca u gubitak sa njenim poveriocima, a preko druge firme ostvaruje profit i neometano posluje bez ikakvih sankcija i preuzimanja rizika za svoje poslovanje.</w:t>
      </w:r>
    </w:p>
    <w:p w14:paraId="087EF8DC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12177253" w14:textId="2F6B1A8B" w:rsidR="00972078" w:rsidRDefault="00A019E4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Smanjiti parafiskalne takse i redukovati njihov broj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(administrativne i kom</w:t>
      </w:r>
      <w:r w:rsidR="00D429FF">
        <w:rPr>
          <w:rFonts w:ascii="Cambria" w:eastAsia="Times New Roman" w:hAnsi="Cambria" w:cs="Open Sans"/>
          <w:sz w:val="24"/>
          <w:szCs w:val="24"/>
          <w:lang w:val="sr-Latn-RS"/>
        </w:rPr>
        <w:t>u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nalne takse, naknade kori</w:t>
      </w:r>
      <w:r w:rsidR="00884FCF" w:rsidRPr="00972078">
        <w:rPr>
          <w:rFonts w:ascii="Cambria" w:eastAsia="Times New Roman" w:hAnsi="Cambria" w:cs="Open Sans"/>
          <w:sz w:val="24"/>
          <w:szCs w:val="24"/>
          <w:lang w:val="sr-Latn-RS"/>
        </w:rPr>
        <w:t>šć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enja javnih dobara</w:t>
      </w:r>
      <w:r w:rsidR="002B4890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itd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)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.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Takođe, ovi nameti treba 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da budu transparetniji i predvid</w:t>
      </w:r>
      <w:r w:rsidR="00884FCF" w:rsidRPr="00972078">
        <w:rPr>
          <w:rFonts w:ascii="Cambria" w:eastAsia="Times New Roman" w:hAnsi="Cambria" w:cs="Open Sans"/>
          <w:sz w:val="24"/>
          <w:szCs w:val="24"/>
          <w:lang w:val="sr-Latn-RS"/>
        </w:rPr>
        <w:t>lji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vi za period od najmanje </w:t>
      </w:r>
      <w:r w:rsidR="00884FCF" w:rsidRPr="00972078">
        <w:rPr>
          <w:rFonts w:ascii="Cambria" w:eastAsia="Times New Roman" w:hAnsi="Cambria" w:cs="Open Sans"/>
          <w:sz w:val="24"/>
          <w:szCs w:val="24"/>
          <w:lang w:val="sr-Latn-RS"/>
        </w:rPr>
        <w:t>pet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godina.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Treba ispitati mogućnost da se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na republi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č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kom nivou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ustanovi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neko regulatorno telo koje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bi pratilo zahteve lokalnih samouprava te javnih i komunalnih preduzeća za uvođenjem ovih dažbina i odobravalo ih. 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Osnovati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centraln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u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baz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u podataka gde će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privrednik mo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ć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i da 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sazna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koliko 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ć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e 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iznositi pojedini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nameti u zavisnosti od delatnosti i op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>š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>tine na kojoj posluje</w:t>
      </w:r>
      <w:r w:rsidR="00B97C38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ili namerava da posluje.</w:t>
      </w:r>
    </w:p>
    <w:p w14:paraId="2889A130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76E94600" w14:textId="77777777" w:rsidR="00972078" w:rsidRDefault="00E54F07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se komunalne dažbine naplaćuju samo za usluge koje se zaista pružaju malim i srednjim preduzećima.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Primer: naknada za odnošenje smeća plaća se iako privredni subjekat ne generiše nikakvo smeće.</w:t>
      </w:r>
    </w:p>
    <w:p w14:paraId="6E2F5732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05CD34CD" w14:textId="77777777" w:rsidR="00972078" w:rsidRDefault="00E54F07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se ekološka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taksa pla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ć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a isklju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č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ivo p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rema vrsti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delatnosti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, odnosno 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veli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č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in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i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uticaja na zaga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đ</w:t>
      </w:r>
      <w:r w:rsidR="00C830AF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enje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. Tako bi</w:t>
      </w:r>
      <w:r w:rsidR="00A019E4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firme koje posluju iz kancelarije i </w:t>
      </w:r>
      <w:r w:rsidR="00A019E4" w:rsidRPr="00972078">
        <w:rPr>
          <w:rFonts w:ascii="Cambria" w:eastAsia="Times New Roman" w:hAnsi="Cambria" w:cs="Open Sans"/>
          <w:sz w:val="24"/>
          <w:szCs w:val="24"/>
          <w:lang w:val="sr-Latn-RS"/>
        </w:rPr>
        <w:lastRenderedPageBreak/>
        <w:t>praktično ne zagađuju životnu sredinu, odnosno zagađuju koliko i svi građani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A019E4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bile oslobođene ovog nameta. S tim u vezi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A019E4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kaznenu politiku treba uskladiti sa ekološkom štetom koja se pravi, tj. treba prekinuti sadašnju praksu da su MSP relativno znatno više opterećen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a</w:t>
      </w:r>
      <w:r w:rsidR="00A019E4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kaznama nego velike firme.</w:t>
      </w:r>
      <w:r w:rsidR="00C830AF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</w:p>
    <w:p w14:paraId="2C6F5EDC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67E6E3DE" w14:textId="77777777" w:rsidR="00972078" w:rsidRDefault="00C830A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Firmarin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u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, odnosno taks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u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za isticanje naziva firme</w:t>
      </w:r>
      <w:r w:rsidR="00972078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,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treba ukinuti za MSP</w:t>
      </w:r>
      <w:r w:rsidR="009547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smešten</w:t>
      </w:r>
      <w:r w:rsidR="00972078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a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 u 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objektu </w:t>
      </w:r>
      <w:r w:rsidR="00A42F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koji je 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u </w:t>
      </w:r>
      <w:r w:rsidR="00A42F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njihovom 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vlasnistvu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(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ili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zakupu), odnosno ako se u te svrhe ne koristi javna povr</w:t>
      </w:r>
      <w:r w:rsidR="00954701" w:rsidRPr="00972078">
        <w:rPr>
          <w:rFonts w:ascii="Cambria" w:eastAsia="Times New Roman" w:hAnsi="Cambria" w:cs="Open Sans"/>
          <w:sz w:val="24"/>
          <w:szCs w:val="24"/>
          <w:lang w:val="sr-Latn-RS"/>
        </w:rPr>
        <w:t>š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ina.</w:t>
      </w:r>
    </w:p>
    <w:p w14:paraId="1FC0A8E5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3BAD1D46" w14:textId="77777777" w:rsidR="00972078" w:rsidRDefault="00C830A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Socijaldemokratska partija Srbije zalaže se da u narednom periodu dođe do izjednačavanja cena komunalnih usluga i kazni za fizička i pravna lica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.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Da bi se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pak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onemogućila 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>zloupotreba ove mere, pravna lica bi za ponovljeni prekršaj plaćala uvećane kazne</w:t>
      </w:r>
      <w:r w:rsidR="00972078">
        <w:rPr>
          <w:rFonts w:ascii="Cambria" w:eastAsia="Times New Roman" w:hAnsi="Cambria" w:cs="Open Sans"/>
          <w:sz w:val="24"/>
          <w:szCs w:val="24"/>
          <w:lang w:val="sr-Latn-RS"/>
        </w:rPr>
        <w:t>,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</w:t>
      </w:r>
      <w:r w:rsidR="00A42F01" w:rsidRPr="00972078">
        <w:rPr>
          <w:rFonts w:ascii="Cambria" w:eastAsia="Times New Roman" w:hAnsi="Cambria" w:cs="Open Sans"/>
          <w:sz w:val="24"/>
          <w:szCs w:val="24"/>
          <w:lang w:val="sr-Latn-RS"/>
        </w:rPr>
        <w:t>čime bi se obezbedilo</w:t>
      </w:r>
      <w:r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da lokalna samouprava ne bude oštećena.</w:t>
      </w:r>
    </w:p>
    <w:p w14:paraId="7B48EA02" w14:textId="77777777" w:rsidR="00972078" w:rsidRPr="00972078" w:rsidRDefault="00972078" w:rsidP="00972078">
      <w:pPr>
        <w:pStyle w:val="ListParagrap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4DC3E247" w14:textId="77777777" w:rsidR="00EE4A21" w:rsidRDefault="00884FCF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Da se rad pograničnih organa i inspekcija reguliše tako da od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go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vara potreb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am</w:t>
      </w:r>
      <w:r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a privrede</w:t>
      </w:r>
      <w:r w:rsidR="00954701" w:rsidRPr="00972078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>.</w:t>
      </w:r>
      <w:r w:rsidR="000C19C1" w:rsidRPr="00972078">
        <w:rPr>
          <w:rFonts w:ascii="Cambria" w:eastAsia="Times New Roman" w:hAnsi="Cambria" w:cs="Open Sans"/>
          <w:sz w:val="24"/>
          <w:szCs w:val="24"/>
          <w:lang w:val="sr-Latn-RS"/>
        </w:rPr>
        <w:t xml:space="preserve"> Neizvesnost šta ih čeka sa naše strane granice i višednevno čekanje (relativno) najviše pogađaju mala i srednja preduzeća.</w:t>
      </w:r>
    </w:p>
    <w:p w14:paraId="6ECC953B" w14:textId="77777777" w:rsidR="00EE4A21" w:rsidRPr="00EE4A21" w:rsidRDefault="00EE4A21" w:rsidP="00EE4A21">
      <w:pPr>
        <w:pStyle w:val="ListParagraph"/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</w:pPr>
    </w:p>
    <w:p w14:paraId="516F2163" w14:textId="42D800BB" w:rsidR="00884FCF" w:rsidRDefault="00EE4A21" w:rsidP="00972078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  <w:r w:rsidRPr="00EE4A21">
        <w:rPr>
          <w:rFonts w:ascii="Cambria" w:eastAsia="Times New Roman" w:hAnsi="Cambria" w:cs="Open Sans"/>
          <w:b/>
          <w:bCs/>
          <w:sz w:val="24"/>
          <w:szCs w:val="24"/>
          <w:lang w:val="sr-Latn-RS"/>
        </w:rPr>
        <w:t xml:space="preserve">Da se mikro i mala preduzeća u prvoj godini poslovanja oslobode poreza na dobit. </w:t>
      </w:r>
      <w:r w:rsidRPr="00EE4A21">
        <w:rPr>
          <w:rFonts w:ascii="Cambria" w:eastAsia="Times New Roman" w:hAnsi="Cambria" w:cs="Open Sans"/>
          <w:sz w:val="24"/>
          <w:szCs w:val="24"/>
          <w:lang w:val="sr-Latn-RS"/>
        </w:rPr>
        <w:t>To bi olakšalo početni položaj preduzeća i njegovu borbu za tržište u periodu koji je za njega najneizvesniji i finansijski najzahtevniji.</w:t>
      </w:r>
      <w:r w:rsidR="00C830AF" w:rsidRPr="00EE4A21">
        <w:rPr>
          <w:rFonts w:ascii="Cambria" w:eastAsia="Times New Roman" w:hAnsi="Cambria" w:cs="Open Sans"/>
          <w:sz w:val="24"/>
          <w:szCs w:val="24"/>
          <w:lang w:val="sr-Latn-RS"/>
        </w:rPr>
        <w:br/>
      </w:r>
    </w:p>
    <w:p w14:paraId="73A0EDDB" w14:textId="77777777" w:rsidR="00EE4A21" w:rsidRPr="00EE4A21" w:rsidRDefault="00EE4A21" w:rsidP="00EE4A21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2B67A5C9" w14:textId="77777777" w:rsidR="00C830AF" w:rsidRPr="00325F93" w:rsidRDefault="00C830AF" w:rsidP="00325F93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424FD2EE" w14:textId="77777777" w:rsidR="00C830AF" w:rsidRPr="00325F93" w:rsidRDefault="00C830AF" w:rsidP="00325F93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0B5BD62C" w14:textId="77777777" w:rsidR="00C830AF" w:rsidRPr="00325F93" w:rsidRDefault="00C830AF" w:rsidP="00325F93">
      <w:pPr>
        <w:spacing w:after="0" w:line="240" w:lineRule="auto"/>
        <w:jc w:val="both"/>
        <w:rPr>
          <w:rFonts w:ascii="Cambria" w:eastAsia="Times New Roman" w:hAnsi="Cambria" w:cs="Open Sans"/>
          <w:sz w:val="24"/>
          <w:szCs w:val="24"/>
          <w:lang w:val="sr-Latn-RS"/>
        </w:rPr>
      </w:pPr>
    </w:p>
    <w:p w14:paraId="5D340410" w14:textId="77777777" w:rsidR="005E18B9" w:rsidRPr="00325F93" w:rsidRDefault="005E18B9">
      <w:pPr>
        <w:rPr>
          <w:rFonts w:ascii="Cambria" w:hAnsi="Cambria" w:cs="Open Sans"/>
          <w:sz w:val="24"/>
          <w:szCs w:val="24"/>
          <w:lang w:val="sr-Latn-RS"/>
        </w:rPr>
      </w:pPr>
    </w:p>
    <w:sectPr w:rsidR="005E18B9" w:rsidRPr="00325F93" w:rsidSect="00325F93">
      <w:pgSz w:w="11906" w:h="16838" w:code="9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3E1F"/>
    <w:multiLevelType w:val="hybridMultilevel"/>
    <w:tmpl w:val="C7E64328"/>
    <w:lvl w:ilvl="0" w:tplc="CC8491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45"/>
    <w:rsid w:val="000C19C1"/>
    <w:rsid w:val="00266CA5"/>
    <w:rsid w:val="002B4890"/>
    <w:rsid w:val="002C6AEE"/>
    <w:rsid w:val="002E6231"/>
    <w:rsid w:val="002E6FB0"/>
    <w:rsid w:val="00325F93"/>
    <w:rsid w:val="003C3359"/>
    <w:rsid w:val="004349E5"/>
    <w:rsid w:val="005E18B9"/>
    <w:rsid w:val="005F4CF5"/>
    <w:rsid w:val="00727C81"/>
    <w:rsid w:val="007709CC"/>
    <w:rsid w:val="007862A5"/>
    <w:rsid w:val="007E4745"/>
    <w:rsid w:val="007F0D6C"/>
    <w:rsid w:val="00884FCF"/>
    <w:rsid w:val="00954701"/>
    <w:rsid w:val="00972078"/>
    <w:rsid w:val="00A019E4"/>
    <w:rsid w:val="00A42F01"/>
    <w:rsid w:val="00AB0BE2"/>
    <w:rsid w:val="00B97C38"/>
    <w:rsid w:val="00C830AF"/>
    <w:rsid w:val="00D429FF"/>
    <w:rsid w:val="00D636FD"/>
    <w:rsid w:val="00E54F07"/>
    <w:rsid w:val="00E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5065"/>
  <w15:chartTrackingRefBased/>
  <w15:docId w15:val="{FF108BFE-B21D-474B-B930-9D40FD2F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KOMP</cp:lastModifiedBy>
  <cp:revision>2</cp:revision>
  <dcterms:created xsi:type="dcterms:W3CDTF">2021-07-01T12:18:00Z</dcterms:created>
  <dcterms:modified xsi:type="dcterms:W3CDTF">2021-07-01T12:18:00Z</dcterms:modified>
</cp:coreProperties>
</file>